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9" w:rsidRDefault="00DC3B19" w:rsidP="00DC3B19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</w:t>
      </w:r>
    </w:p>
    <w:p w:rsidR="00DC3B19" w:rsidRDefault="00DC3B19" w:rsidP="00DC3B19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</w:p>
    <w:p w:rsidR="00DC3B19" w:rsidRDefault="00DC3B19" w:rsidP="00DC3B19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ПРОЕКТ                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КРАСНОЯРСКИЙ  </w:t>
      </w:r>
      <w:r>
        <w:rPr>
          <w:rFonts w:ascii="Arial" w:hAnsi="Arial" w:cs="Arial"/>
          <w:bCs/>
          <w:sz w:val="28"/>
          <w:szCs w:val="28"/>
        </w:rPr>
        <w:t>КРАЙ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АЧИНСКИЙ РАЙОН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ТАРУТИНСКОГО СЕЛЬСОВЕТА</w:t>
      </w:r>
    </w:p>
    <w:p w:rsidR="00DC3B19" w:rsidRDefault="00DC3B19" w:rsidP="00DC3B19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ПОСТАНОВЛЕНИЕ</w:t>
      </w:r>
    </w:p>
    <w:p w:rsidR="00DC3B19" w:rsidRDefault="00DC3B19" w:rsidP="00DC3B1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00.12.2020                                    п.Тарутино                                 № 00-П</w:t>
      </w:r>
    </w:p>
    <w:p w:rsidR="00DC3B19" w:rsidRDefault="00DC3B19" w:rsidP="00DC3B1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ind w:right="226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 на территории Тарутинского  сельсовета на 2021 год и плановый период 2022-2023 годов</w:t>
      </w:r>
    </w:p>
    <w:p w:rsidR="00DC3B19" w:rsidRDefault="00DC3B19" w:rsidP="00DC3B19">
      <w:pPr>
        <w:spacing w:after="0" w:line="240" w:lineRule="auto"/>
        <w:ind w:right="226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ind w:left="170" w:right="51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rFonts w:ascii="Arial" w:eastAsia="Times New Roman" w:hAnsi="Arial" w:cs="Arial"/>
          <w:sz w:val="28"/>
          <w:szCs w:val="28"/>
          <w:lang w:eastAsia="ru-RU"/>
        </w:rPr>
        <w:t>статьями 14, 17, 33 Устава Тарутинского сельсовета Ачинского района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ru-RU"/>
        </w:rPr>
        <w:t>ПОСТАНОВЛЯЮ:</w:t>
      </w:r>
    </w:p>
    <w:p w:rsidR="00DC3B19" w:rsidRDefault="00DC3B19" w:rsidP="00DC3B19">
      <w:pPr>
        <w:spacing w:after="0" w:line="240" w:lineRule="auto"/>
        <w:ind w:left="170" w:right="510" w:firstLine="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C3B19" w:rsidRDefault="00DC3B19" w:rsidP="00DC3B19">
      <w:pPr>
        <w:spacing w:after="0" w:line="240" w:lineRule="auto"/>
        <w:ind w:left="170" w:right="51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 на территории Тарутинского сельсовета на 2021 год и плановый период 2022-2023 годов согласно приложению.</w:t>
      </w:r>
    </w:p>
    <w:p w:rsidR="00DC3B19" w:rsidRDefault="00DC3B19" w:rsidP="00DC3B19">
      <w:pPr>
        <w:spacing w:after="0" w:line="240" w:lineRule="auto"/>
        <w:ind w:left="170" w:right="51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DC3B19" w:rsidRDefault="00DC3B19" w:rsidP="00DC3B19">
      <w:pPr>
        <w:ind w:left="170" w:right="5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3. Постановление вступает в силу после  его официального  опубликования  в информационном листке «Сельские  вести»,  и размещению на официальном сайте Тарутинского сельсовета </w:t>
      </w:r>
      <w:hyperlink r:id="rId4" w:history="1">
        <w:r>
          <w:rPr>
            <w:rStyle w:val="a3"/>
            <w:rFonts w:ascii="Arial" w:hAnsi="Arial" w:cs="Arial"/>
            <w:sz w:val="28"/>
            <w:szCs w:val="28"/>
            <w:lang w:val="en-US"/>
          </w:rPr>
          <w:t>http</w:t>
        </w:r>
        <w:r>
          <w:rPr>
            <w:rStyle w:val="a3"/>
            <w:rFonts w:ascii="Arial" w:hAnsi="Arial" w:cs="Arial"/>
            <w:sz w:val="28"/>
            <w:szCs w:val="28"/>
          </w:rPr>
          <w:t>://</w:t>
        </w:r>
        <w:proofErr w:type="spellStart"/>
        <w:r>
          <w:rPr>
            <w:rStyle w:val="a3"/>
            <w:rFonts w:ascii="Arial" w:hAnsi="Arial" w:cs="Arial"/>
            <w:sz w:val="28"/>
            <w:szCs w:val="28"/>
            <w:lang w:val="en-US"/>
          </w:rPr>
          <w:t>tarutino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.24.</w:t>
        </w:r>
        <w:proofErr w:type="spellStart"/>
        <w:r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/</w:t>
        </w:r>
      </w:hyperlink>
      <w:r>
        <w:rPr>
          <w:rFonts w:ascii="Arial" w:hAnsi="Arial" w:cs="Arial"/>
          <w:sz w:val="28"/>
          <w:szCs w:val="28"/>
          <w:u w:val="single"/>
        </w:rPr>
        <w:t>.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Глава  Тарутинского  сельсовета                                 В.А. Потехин</w:t>
      </w:r>
    </w:p>
    <w:p w:rsidR="00DC3B19" w:rsidRP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Рутковская Наталья Николаевна 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 (39151) 90-2-53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 постановлению администрации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                     Тарутинского   сельсовета 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00.00.2020 № 00-П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DC3B19" w:rsidRDefault="00DC3B19" w:rsidP="00DC3B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Программа</w:t>
      </w:r>
    </w:p>
    <w:p w:rsidR="00DC3B19" w:rsidRDefault="00DC3B19" w:rsidP="00DC3B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нарушений обязательных требований законодательства в сфере муниципального контроля на территории Тарутинского сельсовета на 2021 год и плановый период 2022-2023 годов </w:t>
      </w:r>
    </w:p>
    <w:p w:rsidR="00DC3B19" w:rsidRDefault="00DC3B19" w:rsidP="00DC3B1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Паспорт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510"/>
        <w:gridCol w:w="5670"/>
      </w:tblGrid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нарушений обязательных требований законодательства в сфере муниципального контроля на территории Тарутинского  сельсовета на 2021 год и плановый период 2022-2023 годов </w:t>
            </w:r>
          </w:p>
          <w:p w:rsidR="00DC3B19" w:rsidRDefault="00DC3B1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статья 179 Бюджетного кодекса Российской Федерации;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Ответственный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Тарутинского сельсовета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Ачинского района Красноярского края (далее – администрация Тарутинского  сельсовета)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Задачи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Реализация Программы позволит: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повысить эффективность профилактической работы, проводимой администрацией Тарутинского сельсовета, по предупреждению нарушений юридическими лицами и индивидуальными предпринимателями, осуществляющими деятельность на территории Тарутинского сельсовета, требований законодательства;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 улучшить информационное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обеспечение деятельности администрации Тарутинского  сельсовета по профилактике и предупреждению нарушений законодательства;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 Тарутинского  сельсовета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2021 год и плановый период 2022-2023 годов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Характеристика сферы реализации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обязательных требований», которая вступила в силу с 1 января 2017 года.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видам муниципального контроля, осуществляемого администрацией  Тарутинского сельсовета, относятся: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муниципальный жилищный контроль на территории Тарутинского сельсовета;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муниципальный лесной контроль на территории Тарутинского  сельсовета;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-муниципальный контроль </w:t>
      </w:r>
      <w:r>
        <w:rPr>
          <w:rFonts w:ascii="Arial" w:hAnsi="Arial" w:cs="Arial"/>
          <w:bCs/>
          <w:sz w:val="28"/>
          <w:szCs w:val="28"/>
        </w:rPr>
        <w:t>за обеспечением сохранности автомобильных дорог местного значения</w:t>
      </w:r>
      <w:r>
        <w:rPr>
          <w:rFonts w:ascii="Arial" w:hAnsi="Arial" w:cs="Arial"/>
          <w:sz w:val="28"/>
          <w:szCs w:val="28"/>
        </w:rPr>
        <w:t xml:space="preserve"> на территории  Тарутинского сельсовета;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Цели и задачи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Целью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и устранение причин, факторов и условий, способствующих нарушениям обязательных требований, установленных законодательством.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достижения этой цели необходимо решить поставленные задачи: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укрепление системы профилактики нарушений обязательных требований, установленных законодательством;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повышение правовой культуры руководителей юридических лиц и индивидуальных предпринимателей.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Прогноз конечных результатов, сроки и этапы реализации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результате проведенных мероприятий Программы: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повысится эффективность профилактической работы, проводимой администрацией  Тарутинского  сельсовета, по предупреждению нарушений юридическими лицами и индивидуальными предпринимателями, осуществляющими деятельность на территории  Тарутинского  сельсовета, требований законодательства;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улучшится информационное обеспечение деятельности администрации  Тарутинского сельсовета по профилактике и предупреждению нарушений законодательства;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 Тарутинского  сельсовета.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 реализации программы - 2021 год.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5. Перечень основных мероприятий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Проект мероприятий по нарушению обязательных требований законодательства в сфере муниципального контроля на 2022-2023 годы представлен в приложении 2 к настоящей Программе. 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Оценка эффективности Программы</w:t>
      </w:r>
    </w:p>
    <w:p w:rsidR="00DC3B19" w:rsidRDefault="00DC3B19" w:rsidP="00DC3B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DC3B19" w:rsidRDefault="00DC3B19" w:rsidP="00DC3B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DC3B19" w:rsidRDefault="00DC3B19" w:rsidP="00DC3B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Отчетные показатели по оценке эффективности Программы на 2020 год представлены в приложении 3 в настоящей Программе.</w:t>
      </w:r>
    </w:p>
    <w:p w:rsidR="00DC3B19" w:rsidRDefault="00DC3B19" w:rsidP="00DC3B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 отчетных показателей за 2022-2023 годы представлен в приложении 4  к настоящей Программе.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Раздел 7. Финансовое обеспечение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не предусмотрено. 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Анализ рисков реализации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 Тарутинского  сельсовета в 2021 году.</w:t>
      </w: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1 к Программе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Arial" w:hAnsi="Arial" w:cs="Arial"/>
          <w:sz w:val="28"/>
          <w:szCs w:val="28"/>
        </w:rPr>
        <w:t>План мероприятий по профилактике нарушений обязательных требований законодательства в сфере муниципального контроля на 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22"/>
        <w:gridCol w:w="4576"/>
        <w:gridCol w:w="2125"/>
        <w:gridCol w:w="2272"/>
      </w:tblGrid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Тарутинского 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жилищного контроля;</w:t>
            </w:r>
          </w:p>
          <w:p w:rsidR="00DC3B19" w:rsidRP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контроля за сохранностью автомобильных дорог местного значения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Ведущий специалист администрации Тарутинского сельсовета 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квартал </w:t>
            </w: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2021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5" w:history="1">
              <w:r>
                <w:rPr>
                  <w:rStyle w:val="a3"/>
                  <w:rFonts w:ascii="Arial" w:hAnsi="Arial" w:cs="Arial"/>
                  <w:sz w:val="28"/>
                  <w:szCs w:val="28"/>
                </w:rPr>
                <w:t>статьей 8.2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Федерального закона от 26.12.2008 № 294-ФЗ «О защите прав юридических лиц и индивидуальных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DC3B19" w:rsidRDefault="00DC3B19" w:rsidP="00DC3B1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Приложение 2 к Программе</w:t>
      </w: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Arial" w:hAnsi="Arial" w:cs="Arial"/>
          <w:sz w:val="28"/>
          <w:szCs w:val="28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2022-2023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22"/>
        <w:gridCol w:w="4576"/>
        <w:gridCol w:w="2125"/>
        <w:gridCol w:w="2272"/>
      </w:tblGrid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Тарутинского 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жилищного контроля;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контроля за сохранностью автомобильных дорог местного значения;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муниципального контроля </w:t>
            </w:r>
            <w:r>
              <w:rPr>
                <w:rFonts w:ascii="Arial" w:hAnsi="Arial" w:cs="Arial"/>
                <w:sz w:val="28"/>
                <w:szCs w:val="28"/>
              </w:rPr>
              <w:t>в области торговой деятельности;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квартал </w:t>
            </w: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2022 г. и 2023 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6" w:history="1">
              <w:r>
                <w:rPr>
                  <w:rStyle w:val="a3"/>
                  <w:rFonts w:ascii="Arial" w:hAnsi="Arial" w:cs="Arial"/>
                  <w:sz w:val="28"/>
                  <w:szCs w:val="28"/>
                </w:rPr>
                <w:t>статьей 8.2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Федерального закона от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Приложение 3 к Программе</w:t>
      </w:r>
    </w:p>
    <w:p w:rsidR="00DC3B19" w:rsidRDefault="00DC3B19" w:rsidP="00DC3B19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Отчетные показатели на 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0"/>
        <w:gridCol w:w="2645"/>
      </w:tblGrid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Тарутинского сельсовета в информационно-телекоммуникационной сети Интернет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DC3B19" w:rsidRDefault="00DC3B19" w:rsidP="00DC3B19">
      <w:pPr>
        <w:spacing w:after="24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Приложение 4 к Программе</w:t>
      </w:r>
    </w:p>
    <w:p w:rsidR="00DC3B19" w:rsidRDefault="00DC3B19" w:rsidP="00DC3B19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Проект отчетных показателей на 2021 и 2022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0"/>
        <w:gridCol w:w="2645"/>
      </w:tblGrid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Тарутинского сельсовета в информационно-телекоммуникационной сети Интернет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DC3B19" w:rsidRDefault="00DC3B19" w:rsidP="00DC3B1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D94750" w:rsidRDefault="00D94750"/>
    <w:sectPr w:rsidR="00D94750" w:rsidSect="00D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B19"/>
    <w:rsid w:val="005639BA"/>
    <w:rsid w:val="00D94750"/>
    <w:rsid w:val="00D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9"/>
  </w:style>
  <w:style w:type="paragraph" w:styleId="1">
    <w:name w:val="heading 1"/>
    <w:basedOn w:val="a"/>
    <w:next w:val="a"/>
    <w:link w:val="10"/>
    <w:qFormat/>
    <w:rsid w:val="00DC3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B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DC3B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C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hyperlink" Target="consultantplus://offline/ref=91D4FF6EEE4E3E6CD94F0B41E187C70B21B5DBE330DDECAA719FAF38660295699860FF314EI447C" TargetMode="External"/><Relationship Id="rId4" Type="http://schemas.openxmlformats.org/officeDocument/2006/relationships/hyperlink" Target="http://tarutin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2020-12-07T01:43:00Z</cp:lastPrinted>
  <dcterms:created xsi:type="dcterms:W3CDTF">2020-12-07T01:33:00Z</dcterms:created>
  <dcterms:modified xsi:type="dcterms:W3CDTF">2020-12-07T01:43:00Z</dcterms:modified>
</cp:coreProperties>
</file>