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15" w:rsidRDefault="00943A15" w:rsidP="00943A15">
      <w:pPr>
        <w:pStyle w:val="1"/>
        <w:spacing w:line="228" w:lineRule="auto"/>
        <w:jc w:val="center"/>
        <w:rPr>
          <w:rStyle w:val="a4"/>
          <w:b/>
          <w:bCs w:val="0"/>
          <w:sz w:val="28"/>
          <w:szCs w:val="28"/>
        </w:rPr>
      </w:pPr>
      <w:r>
        <w:rPr>
          <w:rStyle w:val="a4"/>
          <w:b/>
          <w:bCs w:val="0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br/>
      </w:r>
      <w:r>
        <w:rPr>
          <w:rStyle w:val="a4"/>
          <w:b/>
          <w:bCs w:val="0"/>
          <w:sz w:val="28"/>
          <w:szCs w:val="28"/>
        </w:rPr>
        <w:t xml:space="preserve"> ТАРУТИНСКОГО  СЕЛЬСОВЕТА</w:t>
      </w:r>
    </w:p>
    <w:p w:rsidR="00943A15" w:rsidRDefault="00943A15" w:rsidP="00943A15">
      <w:pPr>
        <w:jc w:val="center"/>
        <w:rPr>
          <w:b/>
        </w:rPr>
      </w:pPr>
      <w:r>
        <w:rPr>
          <w:b/>
          <w:sz w:val="28"/>
          <w:szCs w:val="28"/>
        </w:rPr>
        <w:t>АЧИНСКОГО РАЙОНА КРАСНОЯРСКОГО КРАЯ</w:t>
      </w:r>
    </w:p>
    <w:p w:rsidR="00943A15" w:rsidRDefault="00943A15" w:rsidP="00943A15">
      <w:pPr>
        <w:pStyle w:val="1"/>
        <w:spacing w:line="228" w:lineRule="auto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b/>
          <w:bCs w:val="0"/>
          <w:sz w:val="48"/>
          <w:szCs w:val="48"/>
        </w:rPr>
        <w:t>ПОСТАНОВЛЕНИЕ</w:t>
      </w:r>
      <w:r>
        <w:rPr>
          <w:rFonts w:ascii="Times New Roman" w:hAnsi="Times New Roman"/>
          <w:sz w:val="48"/>
          <w:szCs w:val="48"/>
        </w:rPr>
        <w:br/>
      </w:r>
    </w:p>
    <w:p w:rsidR="00943A15" w:rsidRDefault="00943A15" w:rsidP="00943A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2840"/>
        <w:gridCol w:w="3931"/>
        <w:gridCol w:w="2976"/>
      </w:tblGrid>
      <w:tr w:rsidR="00943A15" w:rsidTr="00943A15">
        <w:trPr>
          <w:trHeight w:val="80"/>
        </w:trPr>
        <w:tc>
          <w:tcPr>
            <w:tcW w:w="2840" w:type="dxa"/>
            <w:hideMark/>
          </w:tcPr>
          <w:p w:rsidR="00943A15" w:rsidRDefault="00350DE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</w:t>
            </w:r>
            <w:r w:rsidR="00B35077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931" w:type="dxa"/>
            <w:hideMark/>
          </w:tcPr>
          <w:p w:rsidR="00943A15" w:rsidRDefault="00943A15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п.Тарутино  </w:t>
            </w:r>
          </w:p>
        </w:tc>
        <w:tc>
          <w:tcPr>
            <w:tcW w:w="2976" w:type="dxa"/>
            <w:hideMark/>
          </w:tcPr>
          <w:p w:rsidR="00943A15" w:rsidRDefault="00350DE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№38</w:t>
            </w:r>
            <w:r w:rsidR="00943A15">
              <w:rPr>
                <w:b/>
                <w:sz w:val="28"/>
                <w:szCs w:val="28"/>
              </w:rPr>
              <w:t xml:space="preserve">-П </w:t>
            </w:r>
          </w:p>
        </w:tc>
      </w:tr>
    </w:tbl>
    <w:p w:rsidR="00943A15" w:rsidRDefault="00943A15" w:rsidP="00943A15">
      <w:pPr>
        <w:pStyle w:val="ConsPlusTitle"/>
        <w:jc w:val="center"/>
      </w:pPr>
    </w:p>
    <w:p w:rsidR="00943A15" w:rsidRDefault="00943A15" w:rsidP="00943A15">
      <w:pPr>
        <w:pStyle w:val="ConsPlusTitle"/>
        <w:jc w:val="both"/>
      </w:pP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B032CC">
        <w:rPr>
          <w:rFonts w:ascii="Times New Roman" w:hAnsi="Times New Roman" w:cs="Times New Roman"/>
          <w:sz w:val="28"/>
          <w:szCs w:val="28"/>
        </w:rPr>
        <w:t>и изменений в постановление № 23</w:t>
      </w:r>
      <w:r w:rsidR="00623573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 от 29.03.2019</w:t>
      </w:r>
    </w:p>
    <w:p w:rsidR="00943A15" w:rsidRDefault="00943A15" w:rsidP="00943A1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</w:t>
      </w:r>
      <w:r w:rsidR="00B032CC">
        <w:rPr>
          <w:rFonts w:ascii="Times New Roman" w:hAnsi="Times New Roman" w:cs="Times New Roman"/>
          <w:sz w:val="28"/>
          <w:szCs w:val="28"/>
        </w:rPr>
        <w:t xml:space="preserve"> создании и организации деятельности муниципальной и добровольной пожарной охраны, порядке взаимоотношений муниципальной пожарной охраны с другими видами пожарной охраны"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15" w:rsidRDefault="00943A15" w:rsidP="00943A15">
      <w:pPr>
        <w:jc w:val="both"/>
      </w:pPr>
    </w:p>
    <w:p w:rsidR="00943A15" w:rsidRDefault="00943A15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8E2D9C">
        <w:rPr>
          <w:sz w:val="28"/>
          <w:szCs w:val="28"/>
        </w:rPr>
        <w:t xml:space="preserve">о статьями ст.9, ст.13  Федерального закона  Российской Федерации от 06.05.2011 №100-ФЗ "О добровольной пожарной охране", п.5 Постановления Правительства Красноярского края от 13.12.2019 №703-П  "Об утверждении Методики распределения иных  межбюджетных трансфертов из краевого бюджета и Правила их предоставления бюджетам муниципальных образований Красноярского края на обеспечение первичных мер  пожарной безопасности, </w:t>
      </w:r>
      <w:r>
        <w:rPr>
          <w:sz w:val="28"/>
          <w:szCs w:val="28"/>
        </w:rPr>
        <w:t xml:space="preserve">руководствуясь статьями 7, 18   Устава Тарутинского  сельсовета Ачинского района, принимая во внимание протест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городской прокуратуры от 14.06.2022, ПОСТАНОВЛЯЮ:</w:t>
      </w:r>
    </w:p>
    <w:p w:rsidR="008E2D9C" w:rsidRDefault="008E2D9C" w:rsidP="00943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абзац 2 п.2 настоящего положения  и изложить в следующей редакции:</w:t>
      </w:r>
    </w:p>
    <w:p w:rsidR="008E2D9C" w:rsidRDefault="008E2D9C" w:rsidP="008E2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"2.2. Основные задачи добровольной пожарной охраны: </w:t>
      </w:r>
      <w:r w:rsidRPr="00A302C7">
        <w:rPr>
          <w:sz w:val="28"/>
          <w:szCs w:val="28"/>
        </w:rPr>
        <w:t>1) осуществление профилактики пожаров;</w:t>
      </w:r>
      <w:r>
        <w:rPr>
          <w:sz w:val="28"/>
          <w:szCs w:val="28"/>
        </w:rPr>
        <w:t xml:space="preserve"> </w:t>
      </w:r>
      <w:r w:rsidRPr="00A302C7">
        <w:rPr>
          <w:sz w:val="28"/>
          <w:szCs w:val="28"/>
        </w:rPr>
        <w:t>2) спасение людей и имущества при пожарах, проведении аварийно-спасательных работ и оказание первой помощи пострадавшим;</w:t>
      </w:r>
      <w:r>
        <w:rPr>
          <w:sz w:val="28"/>
          <w:szCs w:val="28"/>
        </w:rPr>
        <w:t xml:space="preserve"> </w:t>
      </w:r>
      <w:r w:rsidRPr="00A302C7">
        <w:rPr>
          <w:sz w:val="28"/>
          <w:szCs w:val="28"/>
        </w:rPr>
        <w:t>3) участие в тушении пожаров и проведении аварийно-спасательных работ.</w:t>
      </w:r>
      <w:r>
        <w:rPr>
          <w:sz w:val="28"/>
          <w:szCs w:val="28"/>
        </w:rPr>
        <w:t>"</w:t>
      </w:r>
    </w:p>
    <w:p w:rsidR="002A6619" w:rsidRDefault="002A6619" w:rsidP="008E2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раздел  3 добавить пункт 3.4.1 и изложить в следующей редакции:</w:t>
      </w:r>
    </w:p>
    <w:p w:rsidR="002A6619" w:rsidRDefault="002A6619" w:rsidP="008E2D9C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" 3.4.1. </w:t>
      </w:r>
      <w:r>
        <w:rPr>
          <w:color w:val="000000"/>
          <w:sz w:val="30"/>
          <w:szCs w:val="30"/>
          <w:shd w:val="clear" w:color="auto" w:fill="FFFFFF"/>
        </w:rPr>
        <w:t>Физическое лицо приобретает статус добровольного пожарного с момента обязательной </w:t>
      </w:r>
      <w:r w:rsidRPr="002A6619">
        <w:rPr>
          <w:sz w:val="28"/>
          <w:szCs w:val="28"/>
        </w:rPr>
        <w:t xml:space="preserve">регистрации </w:t>
      </w:r>
      <w:r w:rsidRPr="002A6619">
        <w:rPr>
          <w:color w:val="000000"/>
          <w:sz w:val="28"/>
          <w:szCs w:val="28"/>
          <w:shd w:val="clear" w:color="auto" w:fill="FFFFFF"/>
        </w:rPr>
        <w:t xml:space="preserve"> этого</w:t>
      </w:r>
      <w:r>
        <w:rPr>
          <w:color w:val="000000"/>
          <w:sz w:val="30"/>
          <w:szCs w:val="30"/>
          <w:shd w:val="clear" w:color="auto" w:fill="FFFFFF"/>
        </w:rPr>
        <w:t xml:space="preserve"> физического лица в реестре добровольных пожарных."</w:t>
      </w:r>
    </w:p>
    <w:p w:rsidR="002A6619" w:rsidRDefault="002A6619" w:rsidP="008E2D9C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3. Внести изменения в п.3.2.</w:t>
      </w:r>
      <w:r w:rsidR="00356C0A">
        <w:rPr>
          <w:color w:val="000000"/>
          <w:sz w:val="30"/>
          <w:szCs w:val="30"/>
          <w:shd w:val="clear" w:color="auto" w:fill="FFFFFF"/>
        </w:rPr>
        <w:t>, 4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="00113986">
        <w:rPr>
          <w:color w:val="000000"/>
          <w:sz w:val="30"/>
          <w:szCs w:val="30"/>
          <w:shd w:val="clear" w:color="auto" w:fill="FFFFFF"/>
        </w:rPr>
        <w:t xml:space="preserve"> и изложить в следующей редакции:</w:t>
      </w:r>
    </w:p>
    <w:p w:rsidR="00113986" w:rsidRDefault="00113986" w:rsidP="008E2D9C">
      <w:pPr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- исключить слова "моральное стимулирование добровольных пожарных".</w:t>
      </w:r>
    </w:p>
    <w:p w:rsidR="00F21851" w:rsidRDefault="00113986" w:rsidP="00F2185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000000"/>
          <w:sz w:val="30"/>
          <w:szCs w:val="30"/>
          <w:shd w:val="clear" w:color="auto" w:fill="FFFFFF"/>
        </w:rPr>
        <w:t>"На обеспечение по первичных мер пожарной безопасности предусмотрено направление трансфертов на материальное  стимулирование  работы добровольных пожарных за участие в профилактике  и тушения пожаров (состоящих в реестре добровольных пожарных Красноярского края)</w:t>
      </w:r>
      <w:r w:rsidR="00F21851">
        <w:rPr>
          <w:color w:val="000000"/>
          <w:sz w:val="30"/>
          <w:szCs w:val="30"/>
          <w:shd w:val="clear" w:color="auto" w:fill="FFFFFF"/>
        </w:rPr>
        <w:t>.</w:t>
      </w:r>
    </w:p>
    <w:p w:rsidR="00F21851" w:rsidRDefault="00F21851" w:rsidP="00F218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943A15" w:rsidRPr="00F21851" w:rsidRDefault="00F21851" w:rsidP="00F2185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F21851">
        <w:rPr>
          <w:color w:val="444444"/>
          <w:sz w:val="28"/>
          <w:szCs w:val="28"/>
        </w:rPr>
        <w:lastRenderedPageBreak/>
        <w:t xml:space="preserve">Трансферты  направлены на следующие мероприятия:1) приобретение для добровольных пожарных боевой одежды пожарного общего назначения, средств защиты рук, ног и головы пожарного; </w:t>
      </w:r>
      <w:r w:rsidRPr="00F21851">
        <w:rPr>
          <w:color w:val="444444"/>
          <w:sz w:val="28"/>
          <w:szCs w:val="28"/>
        </w:rPr>
        <w:br/>
        <w:t>2) приобретение передвижных пожарных комплексов или передвижных пожарно-спасательных</w:t>
      </w:r>
      <w:r>
        <w:rPr>
          <w:color w:val="444444"/>
          <w:sz w:val="28"/>
          <w:szCs w:val="28"/>
        </w:rPr>
        <w:t xml:space="preserve"> комплексов</w:t>
      </w:r>
      <w:r w:rsidRPr="00F21851">
        <w:rPr>
          <w:color w:val="444444"/>
          <w:sz w:val="28"/>
          <w:szCs w:val="28"/>
        </w:rPr>
        <w:t>;</w:t>
      </w:r>
      <w:r w:rsidRPr="00F21851">
        <w:rPr>
          <w:color w:val="444444"/>
          <w:sz w:val="28"/>
          <w:szCs w:val="28"/>
        </w:rPr>
        <w:br/>
        <w:t xml:space="preserve">3) приобретение пожарных </w:t>
      </w:r>
      <w:proofErr w:type="spellStart"/>
      <w:r w:rsidRPr="00F21851">
        <w:rPr>
          <w:color w:val="444444"/>
          <w:sz w:val="28"/>
          <w:szCs w:val="28"/>
        </w:rPr>
        <w:t>мотопомп</w:t>
      </w:r>
      <w:proofErr w:type="spellEnd"/>
      <w:r w:rsidRPr="00F21851">
        <w:rPr>
          <w:color w:val="444444"/>
          <w:sz w:val="28"/>
          <w:szCs w:val="28"/>
        </w:rPr>
        <w:t>;</w:t>
      </w:r>
      <w:r w:rsidRPr="00F21851">
        <w:rPr>
          <w:color w:val="444444"/>
          <w:sz w:val="28"/>
          <w:szCs w:val="28"/>
        </w:rPr>
        <w:br/>
        <w:t>4) материальное стимулирование работы добровольных пожарных за участие в профилактике и тушении пожаров (состоящих в реестре добровольных пожарных Красноярского края);</w:t>
      </w:r>
      <w:r w:rsidRPr="00F21851">
        <w:rPr>
          <w:color w:val="444444"/>
          <w:sz w:val="28"/>
          <w:szCs w:val="28"/>
        </w:rPr>
        <w:br/>
        <w:t>5) материальное стимулирование работы внештатных инструкторов пожарной профилактики за проведение обследования и проверки противопожарного состояния объектов жилого назначения, других объектов, проведение противопожарной агитации и пропаганды среди населения;</w:t>
      </w:r>
      <w:r w:rsidRPr="00F21851">
        <w:rPr>
          <w:color w:val="444444"/>
          <w:sz w:val="28"/>
          <w:szCs w:val="28"/>
        </w:rPr>
        <w:br/>
        <w:t>6) приобретение пожарных гидрантов, ремонт и профилактическое обслуживание сетей противопожарного водопровода;</w:t>
      </w:r>
      <w:r w:rsidRPr="00F21851">
        <w:rPr>
          <w:color w:val="444444"/>
          <w:sz w:val="28"/>
          <w:szCs w:val="28"/>
        </w:rPr>
        <w:br/>
        <w:t>7) ремонт, очистка от снега подъездов к источникам противопожарного водоснабжения (пожарным водоемам, пирсам, гидрантам);</w:t>
      </w:r>
      <w:r w:rsidRPr="00F21851">
        <w:rPr>
          <w:color w:val="444444"/>
          <w:sz w:val="28"/>
          <w:szCs w:val="28"/>
        </w:rPr>
        <w:br/>
        <w:t>8) приобретение и установка указателей гидрантов и водоемов (</w:t>
      </w:r>
      <w:proofErr w:type="spellStart"/>
      <w:r w:rsidRPr="00F21851">
        <w:rPr>
          <w:color w:val="444444"/>
          <w:sz w:val="28"/>
          <w:szCs w:val="28"/>
        </w:rPr>
        <w:t>водоисточников</w:t>
      </w:r>
      <w:proofErr w:type="spellEnd"/>
      <w:r w:rsidRPr="00F21851">
        <w:rPr>
          <w:color w:val="444444"/>
          <w:sz w:val="28"/>
          <w:szCs w:val="28"/>
        </w:rPr>
        <w:t>);</w:t>
      </w:r>
      <w:r w:rsidRPr="00F21851">
        <w:rPr>
          <w:color w:val="444444"/>
          <w:sz w:val="28"/>
          <w:szCs w:val="28"/>
        </w:rPr>
        <w:br/>
        <w:t>9) монтаж и ремонт в помещениях насосных станций противопожарного водопровода прямой телефонной связи с пожарной охраной;</w:t>
      </w:r>
      <w:r w:rsidRPr="00F21851">
        <w:rPr>
          <w:color w:val="444444"/>
          <w:sz w:val="28"/>
          <w:szCs w:val="28"/>
        </w:rPr>
        <w:br/>
        <w:t xml:space="preserve">10) устройство подъездов с площадками (пирсами) с твердым покрытием размерами не менее 12 </w:t>
      </w:r>
      <w:proofErr w:type="spellStart"/>
      <w:r w:rsidRPr="00F21851">
        <w:rPr>
          <w:color w:val="444444"/>
          <w:sz w:val="28"/>
          <w:szCs w:val="28"/>
        </w:rPr>
        <w:t>x</w:t>
      </w:r>
      <w:proofErr w:type="spellEnd"/>
      <w:r w:rsidRPr="00F21851">
        <w:rPr>
          <w:color w:val="444444"/>
          <w:sz w:val="28"/>
          <w:szCs w:val="28"/>
        </w:rPr>
        <w:t xml:space="preserve"> 12 м у пожарных </w:t>
      </w:r>
      <w:proofErr w:type="spellStart"/>
      <w:r w:rsidRPr="00F21851">
        <w:rPr>
          <w:color w:val="444444"/>
          <w:sz w:val="28"/>
          <w:szCs w:val="28"/>
        </w:rPr>
        <w:t>водоисточников</w:t>
      </w:r>
      <w:proofErr w:type="spellEnd"/>
      <w:r w:rsidRPr="00F21851">
        <w:rPr>
          <w:color w:val="444444"/>
          <w:sz w:val="28"/>
          <w:szCs w:val="28"/>
        </w:rPr>
        <w:t xml:space="preserve"> для установки пожарных автомобилей и забора воды;</w:t>
      </w:r>
      <w:r w:rsidRPr="00F21851">
        <w:rPr>
          <w:color w:val="444444"/>
          <w:sz w:val="28"/>
          <w:szCs w:val="28"/>
        </w:rPr>
        <w:br/>
        <w:t>11) устройство и ремонт приспособлений в водонапорных башнях для отбора воды пожарной техникой;</w:t>
      </w:r>
      <w:r w:rsidRPr="00F21851">
        <w:rPr>
          <w:color w:val="444444"/>
          <w:sz w:val="28"/>
          <w:szCs w:val="28"/>
        </w:rPr>
        <w:br/>
        <w:t>12) установка наружных источников пожарного водоснабжения;</w:t>
      </w:r>
      <w:r w:rsidRPr="00F21851">
        <w:rPr>
          <w:color w:val="444444"/>
          <w:sz w:val="28"/>
          <w:szCs w:val="28"/>
        </w:rPr>
        <w:br/>
        <w:t>13) пополнение пожарных водоемов запасами воды;</w:t>
      </w:r>
      <w:r w:rsidRPr="00F21851">
        <w:rPr>
          <w:color w:val="444444"/>
          <w:sz w:val="28"/>
          <w:szCs w:val="28"/>
        </w:rPr>
        <w:br/>
        <w:t xml:space="preserve">14) устройство незамерзающих прорубей в естественных </w:t>
      </w:r>
      <w:proofErr w:type="spellStart"/>
      <w:r w:rsidRPr="00F21851">
        <w:rPr>
          <w:color w:val="444444"/>
          <w:sz w:val="28"/>
          <w:szCs w:val="28"/>
        </w:rPr>
        <w:t>водоисточниках</w:t>
      </w:r>
      <w:proofErr w:type="spellEnd"/>
      <w:r w:rsidRPr="00F21851">
        <w:rPr>
          <w:color w:val="444444"/>
          <w:sz w:val="28"/>
          <w:szCs w:val="28"/>
        </w:rPr>
        <w:t>;</w:t>
      </w:r>
      <w:r w:rsidRPr="00F21851">
        <w:rPr>
          <w:color w:val="444444"/>
          <w:sz w:val="28"/>
          <w:szCs w:val="28"/>
        </w:rPr>
        <w:br/>
        <w:t>15) приобретение емкостей для воды объемом более 0,2 куб. метра для каждого муниципального жилого строения;</w:t>
      </w:r>
      <w:r w:rsidRPr="00F21851">
        <w:rPr>
          <w:color w:val="444444"/>
          <w:sz w:val="28"/>
          <w:szCs w:val="28"/>
        </w:rPr>
        <w:br/>
        <w:t xml:space="preserve">16) приобретение первичных средств пожаротушения: переносные и передвижные огнетушители (воздушно-пенные, порошковые, углекислотные, ранцевый лесной РЛО), воздуходувка-опрыскиватель, пожарные краны и средства обеспечения их использования (пожарные рукава, пожарные стволы, переходные головки, резиновые уплотнители), лом, багор, крюк с деревянной ручкой, ведро, комплект для резки электропроводов: ножницы, диэлектрические боты и коврик, асбестовое полотно, грубошерстная ткань или войлок (кошма, покрывало из негорючего материала), лопата штыковая, лопата совковая, вилы, топор пожарный, тележка для перевозки оборудования, емкость для хранения воды объемом 0,2 куб. метра; 0,02 куб. метра, ящик с песком 0,5 куб. метра, насос ручной, рукав </w:t>
      </w:r>
      <w:proofErr w:type="spellStart"/>
      <w:r w:rsidRPr="00F21851">
        <w:rPr>
          <w:color w:val="444444"/>
          <w:sz w:val="28"/>
          <w:szCs w:val="28"/>
        </w:rPr>
        <w:t>Ду</w:t>
      </w:r>
      <w:proofErr w:type="spellEnd"/>
      <w:r w:rsidRPr="00F21851">
        <w:rPr>
          <w:color w:val="444444"/>
          <w:sz w:val="28"/>
          <w:szCs w:val="28"/>
        </w:rPr>
        <w:t xml:space="preserve"> 18 - 20 длиной 5 метров, защитный экран 1,4 </w:t>
      </w:r>
      <w:proofErr w:type="spellStart"/>
      <w:r w:rsidRPr="00F21851">
        <w:rPr>
          <w:color w:val="444444"/>
          <w:sz w:val="28"/>
          <w:szCs w:val="28"/>
        </w:rPr>
        <w:t>x</w:t>
      </w:r>
      <w:proofErr w:type="spellEnd"/>
      <w:r w:rsidRPr="00F21851">
        <w:rPr>
          <w:color w:val="444444"/>
          <w:sz w:val="28"/>
          <w:szCs w:val="28"/>
        </w:rPr>
        <w:t xml:space="preserve"> 2 метра, стойки для подвески экранов;</w:t>
      </w:r>
      <w:r w:rsidRPr="00F21851">
        <w:rPr>
          <w:color w:val="444444"/>
          <w:sz w:val="28"/>
          <w:szCs w:val="28"/>
        </w:rPr>
        <w:br/>
        <w:t>17) приобретение средств индивидуальной защиты;</w:t>
      </w:r>
      <w:r w:rsidRPr="00F21851">
        <w:rPr>
          <w:color w:val="444444"/>
          <w:sz w:val="28"/>
          <w:szCs w:val="28"/>
        </w:rPr>
        <w:br/>
      </w:r>
      <w:r>
        <w:rPr>
          <w:color w:val="444444"/>
          <w:sz w:val="28"/>
          <w:szCs w:val="28"/>
        </w:rPr>
        <w:t xml:space="preserve">18) </w:t>
      </w:r>
      <w:r w:rsidRPr="00F21851">
        <w:rPr>
          <w:color w:val="444444"/>
          <w:sz w:val="28"/>
          <w:szCs w:val="28"/>
        </w:rPr>
        <w:t>перезарядка огнетушителей;</w:t>
      </w:r>
      <w:r w:rsidRPr="00F21851">
        <w:rPr>
          <w:color w:val="444444"/>
          <w:sz w:val="28"/>
          <w:szCs w:val="28"/>
        </w:rPr>
        <w:br/>
      </w:r>
      <w:r w:rsidRPr="00F21851">
        <w:rPr>
          <w:color w:val="444444"/>
          <w:sz w:val="28"/>
          <w:szCs w:val="28"/>
        </w:rPr>
        <w:lastRenderedPageBreak/>
        <w:t>19) ремонт и обслуживание автоматических установок пожарной сигнализации;</w:t>
      </w:r>
      <w:r w:rsidRPr="00F21851">
        <w:rPr>
          <w:color w:val="444444"/>
          <w:sz w:val="28"/>
          <w:szCs w:val="28"/>
        </w:rPr>
        <w:br/>
        <w:t>20) приобретение, монтаж, обслуживание и ремонт системы оповещения людей на случай пожара, приобретение средств речевого оповещения;</w:t>
      </w:r>
      <w:r w:rsidRPr="00F21851">
        <w:rPr>
          <w:color w:val="444444"/>
          <w:sz w:val="28"/>
          <w:szCs w:val="28"/>
        </w:rPr>
        <w:br/>
        <w:t>21) устройство минерализованных защитных противопожарных полос;</w:t>
      </w:r>
      <w:r w:rsidRPr="00F21851">
        <w:rPr>
          <w:color w:val="444444"/>
          <w:sz w:val="28"/>
          <w:szCs w:val="28"/>
        </w:rPr>
        <w:br/>
        <w:t>21.1) приобретение навесного почвообрабатывающего орудия для создания минерализованных защитных противопожарных полос;</w:t>
      </w:r>
      <w:r w:rsidRPr="00F21851">
        <w:rPr>
          <w:color w:val="444444"/>
          <w:sz w:val="28"/>
          <w:szCs w:val="28"/>
        </w:rPr>
        <w:br/>
        <w:t>22) организация противопожарной пропаганды, обучение мерам пожарной безопасности;</w:t>
      </w:r>
      <w:r w:rsidRPr="00F21851">
        <w:rPr>
          <w:color w:val="444444"/>
          <w:sz w:val="28"/>
          <w:szCs w:val="28"/>
        </w:rPr>
        <w:br/>
        <w:t>23) организация уборки сухой растительности и покоса травы на землях общего пользования;</w:t>
      </w:r>
      <w:r w:rsidRPr="00F21851">
        <w:rPr>
          <w:color w:val="444444"/>
          <w:sz w:val="28"/>
          <w:szCs w:val="28"/>
        </w:rPr>
        <w:br/>
        <w:t xml:space="preserve">24) приобретение специального кустореза и (или) </w:t>
      </w:r>
      <w:proofErr w:type="spellStart"/>
      <w:r w:rsidRPr="00F21851">
        <w:rPr>
          <w:color w:val="444444"/>
          <w:sz w:val="28"/>
          <w:szCs w:val="28"/>
        </w:rPr>
        <w:t>бензоинструмента</w:t>
      </w:r>
      <w:proofErr w:type="spellEnd"/>
      <w:r w:rsidRPr="00F21851">
        <w:rPr>
          <w:color w:val="444444"/>
          <w:sz w:val="28"/>
          <w:szCs w:val="28"/>
        </w:rPr>
        <w:t xml:space="preserve"> для уборки сухой растительности и покоса травы на землях общего пользования.</w:t>
      </w:r>
      <w:r w:rsidR="00943A15" w:rsidRPr="00F21851">
        <w:rPr>
          <w:b/>
          <w:i/>
          <w:sz w:val="28"/>
          <w:szCs w:val="28"/>
        </w:rPr>
        <w:t xml:space="preserve">  </w:t>
      </w:r>
      <w:r w:rsidR="00943A15" w:rsidRPr="00F21851">
        <w:rPr>
          <w:sz w:val="28"/>
          <w:szCs w:val="28"/>
        </w:rPr>
        <w:t xml:space="preserve">2.  Контроль за выполнением  настоящего  постановления оставляю за собой. 3.  Постановление вступает в силу после его официального  опубликования  в информационном листе «Сельские Вести», и подлежит размещению в сети Интернет на официальном сайте администрации Тарутинского  сельсовета и сельского Совета депутатов Ачинского района Красноярского края по адресу: </w:t>
      </w:r>
      <w:hyperlink r:id="rId4" w:history="1">
        <w:r w:rsidR="00943A15" w:rsidRPr="00F21851">
          <w:rPr>
            <w:rStyle w:val="a3"/>
            <w:sz w:val="28"/>
            <w:szCs w:val="28"/>
            <w:lang w:val="en-US"/>
          </w:rPr>
          <w:t>http</w:t>
        </w:r>
        <w:r w:rsidR="00943A15" w:rsidRPr="00F21851">
          <w:rPr>
            <w:rStyle w:val="a3"/>
            <w:sz w:val="28"/>
            <w:szCs w:val="28"/>
          </w:rPr>
          <w:t>://</w:t>
        </w:r>
        <w:proofErr w:type="spellStart"/>
        <w:r w:rsidR="00943A15" w:rsidRPr="00F21851">
          <w:rPr>
            <w:rStyle w:val="a3"/>
            <w:sz w:val="28"/>
            <w:szCs w:val="28"/>
            <w:lang w:val="en-US"/>
          </w:rPr>
          <w:t>tarutino</w:t>
        </w:r>
        <w:proofErr w:type="spellEnd"/>
        <w:r w:rsidR="00943A15" w:rsidRPr="00F21851">
          <w:rPr>
            <w:rStyle w:val="a3"/>
            <w:sz w:val="28"/>
            <w:szCs w:val="28"/>
          </w:rPr>
          <w:t>24.</w:t>
        </w:r>
        <w:proofErr w:type="spellStart"/>
        <w:r w:rsidR="00943A15" w:rsidRPr="00F21851">
          <w:rPr>
            <w:rStyle w:val="a3"/>
            <w:sz w:val="28"/>
            <w:szCs w:val="28"/>
            <w:lang w:val="en-US"/>
          </w:rPr>
          <w:t>ru</w:t>
        </w:r>
        <w:proofErr w:type="spellEnd"/>
        <w:r w:rsidR="00943A15" w:rsidRPr="00F21851">
          <w:rPr>
            <w:rStyle w:val="a3"/>
            <w:sz w:val="28"/>
            <w:szCs w:val="28"/>
          </w:rPr>
          <w:t>/</w:t>
        </w:r>
      </w:hyperlink>
      <w:r w:rsidR="00943A15" w:rsidRPr="00F21851">
        <w:rPr>
          <w:sz w:val="28"/>
          <w:szCs w:val="28"/>
        </w:rPr>
        <w:t>.</w:t>
      </w:r>
    </w:p>
    <w:p w:rsidR="00943A15" w:rsidRPr="00F21851" w:rsidRDefault="00943A15" w:rsidP="00F218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3A15" w:rsidRPr="00F21851" w:rsidRDefault="00943A15" w:rsidP="00F218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851">
        <w:rPr>
          <w:rFonts w:ascii="Times New Roman" w:hAnsi="Times New Roman" w:cs="Times New Roman"/>
          <w:sz w:val="28"/>
          <w:szCs w:val="28"/>
        </w:rPr>
        <w:t>Глава Тарутинского сельсовета                                               В.А. Потехин</w:t>
      </w:r>
    </w:p>
    <w:p w:rsidR="00943A15" w:rsidRPr="00F21851" w:rsidRDefault="00943A15" w:rsidP="00F21851">
      <w:pPr>
        <w:pStyle w:val="5"/>
        <w:spacing w:before="0" w:after="0"/>
        <w:ind w:firstLine="708"/>
        <w:jc w:val="both"/>
        <w:rPr>
          <w:b w:val="0"/>
          <w:i w:val="0"/>
          <w:sz w:val="28"/>
          <w:szCs w:val="28"/>
        </w:rPr>
      </w:pPr>
      <w:r w:rsidRPr="00F21851">
        <w:rPr>
          <w:b w:val="0"/>
          <w:i w:val="0"/>
          <w:sz w:val="28"/>
          <w:szCs w:val="28"/>
        </w:rPr>
        <w:t xml:space="preserve">                       </w:t>
      </w:r>
    </w:p>
    <w:p w:rsidR="00943A15" w:rsidRPr="00F21851" w:rsidRDefault="00943A15" w:rsidP="00F21851">
      <w:pPr>
        <w:pStyle w:val="5"/>
        <w:spacing w:before="0" w:after="0"/>
        <w:ind w:firstLine="708"/>
        <w:jc w:val="both"/>
        <w:rPr>
          <w:sz w:val="28"/>
          <w:szCs w:val="28"/>
        </w:rPr>
      </w:pPr>
      <w:r w:rsidRPr="00F21851">
        <w:rPr>
          <w:b w:val="0"/>
          <w:i w:val="0"/>
          <w:sz w:val="28"/>
          <w:szCs w:val="28"/>
        </w:rPr>
        <w:t xml:space="preserve">  </w:t>
      </w:r>
    </w:p>
    <w:p w:rsidR="007F083C" w:rsidRPr="00F21851" w:rsidRDefault="007F083C" w:rsidP="00F21851">
      <w:pPr>
        <w:jc w:val="both"/>
        <w:rPr>
          <w:sz w:val="28"/>
          <w:szCs w:val="28"/>
        </w:rPr>
      </w:pPr>
    </w:p>
    <w:sectPr w:rsidR="007F083C" w:rsidRPr="00F21851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A15"/>
    <w:rsid w:val="00113986"/>
    <w:rsid w:val="001F6FD9"/>
    <w:rsid w:val="0026349D"/>
    <w:rsid w:val="002A6619"/>
    <w:rsid w:val="00350DEE"/>
    <w:rsid w:val="00356C0A"/>
    <w:rsid w:val="005448C3"/>
    <w:rsid w:val="00623573"/>
    <w:rsid w:val="007A7614"/>
    <w:rsid w:val="007F083C"/>
    <w:rsid w:val="008A1946"/>
    <w:rsid w:val="008E2D9C"/>
    <w:rsid w:val="00943A15"/>
    <w:rsid w:val="00B032CC"/>
    <w:rsid w:val="00B35077"/>
    <w:rsid w:val="00C73DA7"/>
    <w:rsid w:val="00D81BD3"/>
    <w:rsid w:val="00F2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3A1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943A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A1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943A1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43A15"/>
    <w:rPr>
      <w:color w:val="0000FF"/>
      <w:u w:val="single"/>
    </w:rPr>
  </w:style>
  <w:style w:type="character" w:styleId="a4">
    <w:name w:val="Strong"/>
    <w:uiPriority w:val="99"/>
    <w:qFormat/>
    <w:rsid w:val="00943A15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rsid w:val="00943A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3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A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8E2D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13</cp:revision>
  <cp:lastPrinted>2022-06-28T04:56:00Z</cp:lastPrinted>
  <dcterms:created xsi:type="dcterms:W3CDTF">2022-06-27T06:45:00Z</dcterms:created>
  <dcterms:modified xsi:type="dcterms:W3CDTF">2022-06-28T04:56:00Z</dcterms:modified>
</cp:coreProperties>
</file>