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7" w:rsidRDefault="00C511C0" w:rsidP="007E5E67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r>
        <w:rPr>
          <w:b/>
          <w:sz w:val="56"/>
        </w:rPr>
        <w:t>Р Е Ш Е Н И Е</w:t>
      </w:r>
    </w:p>
    <w:p w:rsidR="007E5E67" w:rsidRDefault="007E5E67" w:rsidP="007E5E67"/>
    <w:p w:rsidR="007E5E67" w:rsidRPr="00DE658B" w:rsidRDefault="006F406B" w:rsidP="00DE658B">
      <w:pPr>
        <w:jc w:val="center"/>
        <w:rPr>
          <w:b/>
        </w:rPr>
      </w:pPr>
      <w:r>
        <w:rPr>
          <w:b/>
        </w:rPr>
        <w:t>27.06.</w:t>
      </w:r>
      <w:r w:rsidR="00C511C0" w:rsidRPr="00DE658B">
        <w:rPr>
          <w:b/>
        </w:rPr>
        <w:t>2023</w:t>
      </w:r>
      <w:r w:rsidR="00DB7CF5" w:rsidRPr="00DE658B">
        <w:rPr>
          <w:b/>
        </w:rPr>
        <w:t xml:space="preserve">          </w:t>
      </w:r>
      <w:r w:rsidR="007E5E67" w:rsidRPr="00DE658B">
        <w:rPr>
          <w:b/>
        </w:rPr>
        <w:t xml:space="preserve"> </w:t>
      </w:r>
      <w:r w:rsidR="00DE658B">
        <w:rPr>
          <w:b/>
        </w:rPr>
        <w:t xml:space="preserve">         </w:t>
      </w:r>
      <w:r w:rsidR="00DB7CF5" w:rsidRPr="00DE658B">
        <w:rPr>
          <w:b/>
        </w:rPr>
        <w:t xml:space="preserve">  </w:t>
      </w:r>
      <w:r w:rsidR="007E5E67" w:rsidRPr="00DE658B">
        <w:rPr>
          <w:b/>
        </w:rPr>
        <w:t xml:space="preserve"> п. Тарутино</w:t>
      </w:r>
      <w:r w:rsidR="00A2560F" w:rsidRPr="00DE658B">
        <w:rPr>
          <w:b/>
        </w:rPr>
        <w:t xml:space="preserve">                     </w:t>
      </w:r>
      <w:r w:rsidR="00DB7CF5" w:rsidRPr="00DE658B">
        <w:rPr>
          <w:b/>
        </w:rPr>
        <w:t xml:space="preserve">        </w:t>
      </w:r>
      <w:r w:rsidR="00A2560F" w:rsidRPr="00DE658B">
        <w:rPr>
          <w:b/>
        </w:rPr>
        <w:t xml:space="preserve"> </w:t>
      </w:r>
      <w:r w:rsidR="004E5A92" w:rsidRPr="00DE658B">
        <w:rPr>
          <w:b/>
        </w:rPr>
        <w:t xml:space="preserve">  </w:t>
      </w:r>
      <w:r w:rsidR="00C511C0" w:rsidRPr="00DE658B">
        <w:rPr>
          <w:b/>
        </w:rPr>
        <w:t xml:space="preserve">№ </w:t>
      </w:r>
      <w:r>
        <w:rPr>
          <w:b/>
        </w:rPr>
        <w:t>27-125Р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E207DD" w:rsidRDefault="00E207DD" w:rsidP="00DE658B">
      <w:pPr>
        <w:ind w:right="-1"/>
        <w:rPr>
          <w:b/>
        </w:rPr>
      </w:pPr>
      <w:r w:rsidRPr="0045669B">
        <w:rPr>
          <w:b/>
        </w:rPr>
        <w:t xml:space="preserve">О внесении изменений в решение </w:t>
      </w:r>
      <w:r w:rsidR="0045669B" w:rsidRPr="0045669B">
        <w:rPr>
          <w:b/>
        </w:rPr>
        <w:t xml:space="preserve">Тарутинского </w:t>
      </w:r>
      <w:r w:rsidRPr="0045669B">
        <w:rPr>
          <w:b/>
        </w:rPr>
        <w:t xml:space="preserve"> </w:t>
      </w:r>
      <w:r w:rsidR="0045669B" w:rsidRPr="0045669B">
        <w:rPr>
          <w:b/>
        </w:rPr>
        <w:t>сельского Совета депутатов от 22.12.2021 № 14-4</w:t>
      </w:r>
      <w:r w:rsidRPr="0045669B">
        <w:rPr>
          <w:b/>
        </w:rPr>
        <w:t xml:space="preserve">8Р "Об утверждении Положения о муниципальном контроле в сфере благоустройства" </w:t>
      </w:r>
    </w:p>
    <w:p w:rsidR="0045669B" w:rsidRPr="0045669B" w:rsidRDefault="0045669B" w:rsidP="00E207DD">
      <w:pPr>
        <w:ind w:right="-1"/>
        <w:jc w:val="both"/>
        <w:rPr>
          <w:b/>
        </w:rPr>
      </w:pPr>
    </w:p>
    <w:p w:rsidR="00E207DD" w:rsidRDefault="00E207DD" w:rsidP="00E207DD">
      <w:pPr>
        <w:ind w:right="-1"/>
        <w:jc w:val="both"/>
      </w:pPr>
      <w: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частью 2 статьи 39 Федерального закона от 31.07.2020 № 248- ФЗ «О государственном контроле (надзоре) и муниципальном контроле в Российской Федерации», руководствуясь статьями 21, 25 Устава Тарутинского  сельсовета Ачинского района Красноярского края, </w:t>
      </w:r>
      <w:r w:rsidR="00DD1A86">
        <w:t xml:space="preserve">принимая </w:t>
      </w:r>
      <w:r w:rsidR="00DD1A86" w:rsidRPr="00A01123">
        <w:t>во внимание протест Ачинской городской прокуратуры от</w:t>
      </w:r>
      <w:r w:rsidR="00A01123" w:rsidRPr="00A01123">
        <w:t xml:space="preserve"> 13.04.2023, </w:t>
      </w:r>
      <w:r w:rsidRPr="00A01123">
        <w:t>Тарутинский</w:t>
      </w:r>
      <w:r>
        <w:t xml:space="preserve">  сельский Совет депутатов РЕШИЛ: </w:t>
      </w:r>
    </w:p>
    <w:p w:rsidR="00E207DD" w:rsidRDefault="00E207DD" w:rsidP="00E207DD">
      <w:pPr>
        <w:ind w:right="-1"/>
        <w:jc w:val="both"/>
      </w:pPr>
      <w:r>
        <w:t xml:space="preserve">     1. Внести в Положение о муниципальном жилищном контроле, утвержденном решением Тарутинского сельского Совета депутатов 22.12.2021 № 14-48Р, следующие изменения и дополнения: </w:t>
      </w:r>
    </w:p>
    <w:p w:rsidR="00DD1A86" w:rsidRDefault="00DD1A86" w:rsidP="00E207DD">
      <w:pPr>
        <w:ind w:right="-1"/>
        <w:jc w:val="both"/>
      </w:pPr>
      <w:r>
        <w:t xml:space="preserve">  1.1. пункт 15 раздела 2 исключить;</w:t>
      </w:r>
    </w:p>
    <w:p w:rsidR="00DD1A86" w:rsidRDefault="00DD1A86" w:rsidP="00E207DD">
      <w:pPr>
        <w:ind w:right="-1"/>
        <w:jc w:val="both"/>
      </w:pPr>
      <w:r>
        <w:t xml:space="preserve">  1.2. пункт 21 изложить в следующей редакции: </w:t>
      </w:r>
    </w:p>
    <w:p w:rsidR="00DD1A86" w:rsidRDefault="00DD1A86" w:rsidP="00E207DD">
      <w:pPr>
        <w:ind w:right="-1"/>
        <w:jc w:val="both"/>
      </w:pPr>
      <w:r>
        <w:t xml:space="preserve">"21.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и предлагает принять меры по обеспечению соблюдения обязательных требований. Предостережение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2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</w:t>
      </w:r>
      <w:r>
        <w:lastRenderedPageBreak/>
        <w:t xml:space="preserve">требований и не может содержать требование представления контролируемым лицом сведений и документов. </w:t>
      </w:r>
    </w:p>
    <w:p w:rsidR="00DD1A86" w:rsidRDefault="00DD1A86" w:rsidP="00E207DD">
      <w:pPr>
        <w:ind w:right="-1"/>
        <w:jc w:val="both"/>
      </w:pPr>
      <w:r>
        <w:t xml:space="preserve">    Контролируемое лицо вправе после получения предостережения подать в уполномоченный орган возражение в отношении указанного предостережения, в котором указываются следующие сведения: наименование юридического лица, фамилия, имя, отчество (при наличии) индивидуального предпринимателя, гражданина; идентификационный номер налогоплательщика юридического лица, индивидуального предпринимателя, гражданина; дата и номер предостережения; обоснование позиции в отношении указанных в предостережении готовящихся или возможных действий (бездействия), которые приводят или могут привести к нарушению обязательных требований; способ получения ответа. </w:t>
      </w:r>
    </w:p>
    <w:p w:rsidR="00DD1A86" w:rsidRDefault="00DD1A86" w:rsidP="00E207DD">
      <w:pPr>
        <w:ind w:right="-1"/>
        <w:jc w:val="both"/>
      </w:pPr>
      <w:r>
        <w:t xml:space="preserve">Возражение в отношении предостережения направляется в уполномоченный орган на бумажном носителе почтовым отправлением либо в виде электронного документа, подписанного с учетом требований, установленных частью 6 статьи 21 Федерального закона №248-ФЗ, в течение тридцати дней со дня получения контролируемым лицом предостережения.                   Уполномоченный орган рассматривает возражение в отношении предостережения в течение тридцати дней со дня получения возражения. </w:t>
      </w:r>
    </w:p>
    <w:p w:rsidR="00DD1A86" w:rsidRDefault="00DD1A86" w:rsidP="00E207DD">
      <w:pPr>
        <w:ind w:right="-1"/>
        <w:jc w:val="both"/>
      </w:pPr>
      <w:r>
        <w:t xml:space="preserve">      По результатам рассмотрения возражения в отношении предостережения уполномоченный орган принимает одно из следующих решений: об удовлетворении возражения и отмене полностью или частично объявленного предостережения; об отказе в удовлетворении возражения. Уполномоченный орган информирует контролируемое лицо о результатах рассмотрения возражения не позднее пяти рабочих дней со дня принятия решения, указанного в настоящем пункте, в письменной форме посредством почтовой связи и (или) по электронной почте. В случае отмены (полностью или частично) объявленного предостережения контролируемому лицу также направляется копия решения уполномоченного органа об отмене объявленного предостережения. Повторное направление возражения по тем же основаниям не допускается."; </w:t>
      </w:r>
    </w:p>
    <w:p w:rsidR="00DD1A86" w:rsidRDefault="00DD1A86" w:rsidP="00E207DD">
      <w:pPr>
        <w:ind w:right="-1"/>
        <w:jc w:val="both"/>
      </w:pPr>
      <w:r>
        <w:t xml:space="preserve"> </w:t>
      </w:r>
      <w:r w:rsidR="00CB5DB5">
        <w:t xml:space="preserve">  </w:t>
      </w:r>
      <w:r>
        <w:t xml:space="preserve"> 1.3. пункт 22 изложить в следующей редакции:</w:t>
      </w:r>
    </w:p>
    <w:p w:rsidR="00DD1A86" w:rsidRDefault="00DD1A86" w:rsidP="00E207DD">
      <w:pPr>
        <w:ind w:right="-1"/>
        <w:jc w:val="both"/>
      </w:pPr>
      <w:r>
        <w:t xml:space="preserve"> "22. Консультирование (разъяснения по вопросам, связанным с организацией и осуществлением муниципального контроля) осуществляется лицом, уполномоченным на проведение контрольного мероприятия, по обращениям контролируемых лиц и их представителей без взимания платы. Консультирование может осуществляться по телефону, посредством видеоконференц-связи, на личном приеме либо в ходе проведения профилактического мероприятия, контрольного мероприятия.</w:t>
      </w:r>
    </w:p>
    <w:p w:rsidR="00DD1A86" w:rsidRDefault="00DD1A86" w:rsidP="00E207DD">
      <w:pPr>
        <w:ind w:right="-1"/>
        <w:jc w:val="both"/>
      </w:pPr>
      <w:r>
        <w:t xml:space="preserve"> Время консультирования не должно превышать пятнадцать минут. Консультирование, в том числе письменное консультирование, осуществляется по следующим вопросам: </w:t>
      </w:r>
    </w:p>
    <w:p w:rsidR="00CB5DB5" w:rsidRDefault="006F406B" w:rsidP="00E207DD">
      <w:pPr>
        <w:ind w:right="-1"/>
        <w:jc w:val="both"/>
      </w:pPr>
      <w:r>
        <w:t xml:space="preserve">- </w:t>
      </w:r>
      <w:r w:rsidR="00DD1A86">
        <w:t>организации и осуществ</w:t>
      </w:r>
      <w:r w:rsidR="00CB5DB5">
        <w:t xml:space="preserve">ления муниципального контроля; </w:t>
      </w:r>
    </w:p>
    <w:p w:rsidR="006F406B" w:rsidRDefault="006F406B" w:rsidP="00E207DD">
      <w:pPr>
        <w:ind w:right="-1"/>
        <w:jc w:val="both"/>
      </w:pPr>
      <w:r>
        <w:t xml:space="preserve">- </w:t>
      </w:r>
      <w:r w:rsidR="00DD1A86">
        <w:t xml:space="preserve"> порядка осуществления профилактических мероприятий, контрольных мероприятий, установленных настоящим Положением; </w:t>
      </w:r>
    </w:p>
    <w:p w:rsidR="00CB5DB5" w:rsidRDefault="006F406B" w:rsidP="00E207DD">
      <w:pPr>
        <w:ind w:right="-1"/>
        <w:jc w:val="both"/>
      </w:pPr>
      <w:r>
        <w:t xml:space="preserve">- </w:t>
      </w:r>
      <w:r w:rsidR="00DD1A86">
        <w:t xml:space="preserve">содержания обязательных требований, соблюдение которых оценивается при проведении мероприятий по муниципальному контролю. </w:t>
      </w:r>
    </w:p>
    <w:p w:rsidR="00CB5DB5" w:rsidRDefault="00CB5DB5" w:rsidP="00E207DD">
      <w:pPr>
        <w:ind w:right="-1"/>
        <w:jc w:val="both"/>
      </w:pPr>
      <w:r>
        <w:lastRenderedPageBreak/>
        <w:t xml:space="preserve">     </w:t>
      </w:r>
      <w:r w:rsidR="00DD1A86">
        <w:t xml:space="preserve">Консультирование в письменной форме осуществляется в следующих случаях: </w:t>
      </w:r>
    </w:p>
    <w:p w:rsidR="00CB5DB5" w:rsidRDefault="006F406B" w:rsidP="00E207DD">
      <w:pPr>
        <w:ind w:right="-1"/>
        <w:jc w:val="both"/>
      </w:pPr>
      <w:r>
        <w:t xml:space="preserve">- </w:t>
      </w:r>
      <w:r w:rsidR="00DD1A86">
        <w:t xml:space="preserve">контролируемым лицом представлен письменный запрос о предоставлении письменного ответа по вопросам консультирования; </w:t>
      </w:r>
    </w:p>
    <w:p w:rsidR="00CB5DB5" w:rsidRDefault="006F406B" w:rsidP="00E207DD">
      <w:pPr>
        <w:ind w:right="-1"/>
        <w:jc w:val="both"/>
      </w:pPr>
      <w:r>
        <w:t xml:space="preserve">- </w:t>
      </w:r>
      <w:r w:rsidR="00DD1A86">
        <w:t xml:space="preserve">за время консультирования предоставить ответ на поставленные вопросы невозможно; </w:t>
      </w:r>
    </w:p>
    <w:p w:rsidR="00CB5DB5" w:rsidRDefault="006F406B" w:rsidP="00E207DD">
      <w:pPr>
        <w:ind w:right="-1"/>
        <w:jc w:val="both"/>
      </w:pPr>
      <w:r>
        <w:t xml:space="preserve">- </w:t>
      </w:r>
      <w:r w:rsidR="00DD1A86">
        <w:t xml:space="preserve">ответ на поставленные вопросы требует запроса сведений от иных органов местного самоуправления и органов государственной власти. </w:t>
      </w:r>
    </w:p>
    <w:p w:rsidR="00CB5DB5" w:rsidRDefault="00CB5DB5" w:rsidP="00E207DD">
      <w:pPr>
        <w:ind w:right="-1"/>
        <w:jc w:val="both"/>
      </w:pPr>
      <w:r>
        <w:t xml:space="preserve">     </w:t>
      </w:r>
      <w:r w:rsidR="00DD1A86">
        <w:t xml:space="preserve">В случае если поставленные во время консультирования вопросы не относятся к сфере муниципального контроля, даются необходимые разъяснения по обращению в органы местного самоуправления и органы государственной власти, должностным лицам, к компетенции которых относится решение данных вопросов. </w:t>
      </w:r>
    </w:p>
    <w:p w:rsidR="00CB5DB5" w:rsidRDefault="00DD1A86" w:rsidP="00E207DD">
      <w:pPr>
        <w:ind w:right="-1"/>
        <w:jc w:val="both"/>
      </w:pPr>
      <w:r>
        <w:t xml:space="preserve">При осуществлении консультирования лицо, уполномоченное на проведение контрольного мероприятия,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CB5DB5" w:rsidRDefault="00DD1A86" w:rsidP="00E207DD">
      <w:pPr>
        <w:ind w:right="-1"/>
        <w:jc w:val="both"/>
      </w:pPr>
      <w:r>
        <w:t xml:space="preserve">В ходе консультирования информация, содержащая оценку конкретного контрольного мероприятия, решений и (или) действий лица, уполномоченного на проведение контрольного мероприятия, иных участников контрольного мероприятия, а также результаты проведенной в рамках контрольного мероприятия экспертизы не предоставляются. </w:t>
      </w:r>
      <w:r w:rsidR="00CB5DB5">
        <w:t xml:space="preserve">       </w:t>
      </w:r>
      <w:r>
        <w:t>Информация, ставшая известной в ходе консультирования лицу, уполномоченному на проведение контрольного мероприятия, не подлежит использованию в целях оценки контролируемого лица по вопросам соблюдения обязательных требований.</w:t>
      </w:r>
    </w:p>
    <w:p w:rsidR="00CB5DB5" w:rsidRDefault="00CB5DB5" w:rsidP="00E207DD">
      <w:pPr>
        <w:ind w:right="-1"/>
        <w:jc w:val="both"/>
      </w:pPr>
      <w:r>
        <w:t xml:space="preserve">     </w:t>
      </w:r>
      <w:r w:rsidR="00DD1A86">
        <w:t xml:space="preserve"> В случае если в течение календарного года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уполномоченного органа."; </w:t>
      </w:r>
    </w:p>
    <w:p w:rsidR="00CB5DB5" w:rsidRDefault="00CB5DB5" w:rsidP="00E207DD">
      <w:pPr>
        <w:ind w:right="-1"/>
        <w:jc w:val="both"/>
      </w:pPr>
      <w:r>
        <w:t xml:space="preserve">   1.4</w:t>
      </w:r>
      <w:r w:rsidR="00DD1A86">
        <w:t>. пункт 31 дополнить абзацем седьмым следующего содержания: "Контролируемые лица или их представители обязаны обеспечить беспрепятственный доступ лицам, уполномоченным на проведение контрольного мероприятия, в з</w:t>
      </w:r>
      <w:r>
        <w:t>дания, сооружения, помещения."</w:t>
      </w:r>
    </w:p>
    <w:p w:rsidR="00CB5DB5" w:rsidRDefault="00CB5DB5" w:rsidP="00E207DD">
      <w:pPr>
        <w:ind w:right="-1"/>
        <w:jc w:val="both"/>
      </w:pPr>
      <w:r>
        <w:t xml:space="preserve">  </w:t>
      </w:r>
      <w:r w:rsidR="00372CAB">
        <w:t>1.5</w:t>
      </w:r>
      <w:r w:rsidR="00DD1A86">
        <w:t xml:space="preserve">. пункт 34 изложить в следующей редакции: </w:t>
      </w:r>
    </w:p>
    <w:p w:rsidR="00CB5DB5" w:rsidRDefault="00DD1A86" w:rsidP="00E207DD">
      <w:pPr>
        <w:ind w:right="-1"/>
        <w:jc w:val="both"/>
      </w:pPr>
      <w:r>
        <w:t xml:space="preserve">"34. Выездная проверка проводится посредством взаимодействия с конкретным контролируемым лицом, владеющим объектом контроля, в целях оценки соблюдения таким лицом обязательных требований, а также оценки выполнения решений контрольного органа. </w:t>
      </w:r>
    </w:p>
    <w:p w:rsidR="00CB5DB5" w:rsidRDefault="00DD1A86" w:rsidP="00E207DD">
      <w:pPr>
        <w:ind w:right="-1"/>
        <w:jc w:val="both"/>
      </w:pPr>
      <w: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  <w:r w:rsidR="00CB5DB5">
        <w:t xml:space="preserve">  </w:t>
      </w:r>
      <w:r>
        <w:t xml:space="preserve">Выездная проверка проводится в случае, если не представляется возможным: удостовериться в полноте и достоверности </w:t>
      </w:r>
      <w:r w:rsidR="00CB5DB5">
        <w:t xml:space="preserve">сведений, которые содержатся в </w:t>
      </w:r>
      <w:r>
        <w:t xml:space="preserve"> находящихся в распоряжении уполномоченного органа или в запрашиваемых уполномоченным органом документах и объяснениях контролируемого лица; </w:t>
      </w:r>
      <w:r>
        <w:lastRenderedPageBreak/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муниципального контроля обязательным требованиям без выезда на указанное в абзаце втором настоящего пункта место и совершения необходимых контрольных действий, предусмотренных в рамках иного вида контрольных мероприятий. </w:t>
      </w:r>
    </w:p>
    <w:p w:rsidR="00CB5DB5" w:rsidRDefault="00CB5DB5" w:rsidP="00E207DD">
      <w:pPr>
        <w:ind w:right="-1"/>
        <w:jc w:val="both"/>
      </w:pPr>
      <w:r>
        <w:t xml:space="preserve">    </w:t>
      </w:r>
      <w:r w:rsidR="00DD1A86"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Федерации», если иное не предусмотрено федеральным законом о виде контроля. В ходе выездной проверки могут совершаться следующие контрольные действия: осмотр; экспертиза; опрос; получение письменных объяснений; истребование документов; инструментальное обследование. </w:t>
      </w:r>
      <w:r>
        <w:t xml:space="preserve">  </w:t>
      </w:r>
      <w:r w:rsidR="00DD1A86">
        <w:t xml:space="preserve">Срок проведения выездной проверки не может превышать десять рабочих дней. </w:t>
      </w:r>
    </w:p>
    <w:p w:rsidR="00372CAB" w:rsidRDefault="00CB5DB5" w:rsidP="00E207DD">
      <w:pPr>
        <w:ind w:right="-1"/>
        <w:jc w:val="both"/>
      </w:pPr>
      <w:r>
        <w:t xml:space="preserve">    </w:t>
      </w:r>
      <w:r w:rsidR="00DD1A86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часов."; </w:t>
      </w:r>
    </w:p>
    <w:p w:rsidR="00372CAB" w:rsidRDefault="00372CAB" w:rsidP="00E207DD">
      <w:pPr>
        <w:ind w:right="-1"/>
        <w:jc w:val="both"/>
      </w:pPr>
      <w:r>
        <w:t xml:space="preserve">   1.6</w:t>
      </w:r>
      <w:r w:rsidR="00DD1A86">
        <w:t>. приложение № 2 к Положению о муниципальном контроле в сфере благоустройства исключить.</w:t>
      </w:r>
    </w:p>
    <w:p w:rsidR="00E207DD" w:rsidRDefault="00372CAB" w:rsidP="00E207DD">
      <w:pPr>
        <w:ind w:right="-1"/>
        <w:jc w:val="both"/>
      </w:pPr>
      <w:r>
        <w:t xml:space="preserve">     </w:t>
      </w:r>
      <w:r w:rsidR="00E207DD">
        <w:t xml:space="preserve">2. Контроль за исполнением настоящего решения возложить на постоянную комиссию по экономической и бюджетной политике, муниципальной имуществу, сельскому хозяйству, землепользованию и охране окружающей среды. </w:t>
      </w:r>
    </w:p>
    <w:p w:rsidR="0078337C" w:rsidRPr="00EC2FED" w:rsidRDefault="00372CAB" w:rsidP="00E207DD">
      <w:pPr>
        <w:ind w:right="-1"/>
        <w:jc w:val="both"/>
        <w:rPr>
          <w:color w:val="0000FF"/>
          <w:szCs w:val="28"/>
          <w:u w:val="single"/>
        </w:rPr>
      </w:pPr>
      <w:r>
        <w:rPr>
          <w:szCs w:val="28"/>
        </w:rPr>
        <w:t xml:space="preserve">    </w:t>
      </w:r>
      <w:r w:rsidR="00E207DD">
        <w:rPr>
          <w:szCs w:val="28"/>
        </w:rPr>
        <w:t>3</w:t>
      </w:r>
      <w:r w:rsidR="0078337C">
        <w:rPr>
          <w:szCs w:val="28"/>
        </w:rPr>
        <w:t>.</w:t>
      </w:r>
      <w:r w:rsidR="0078337C" w:rsidRPr="0078337C">
        <w:rPr>
          <w:szCs w:val="28"/>
        </w:rPr>
        <w:t xml:space="preserve"> </w:t>
      </w:r>
      <w:r w:rsidR="0078337C" w:rsidRPr="00EC2FED">
        <w:rPr>
          <w:szCs w:val="28"/>
        </w:rPr>
        <w:t xml:space="preserve">Решение  вступает в силу  после  его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8" w:history="1">
        <w:r w:rsidR="0078337C" w:rsidRPr="00EC2FED">
          <w:rPr>
            <w:color w:val="0000FF"/>
            <w:szCs w:val="28"/>
            <w:u w:val="single"/>
          </w:rPr>
          <w:t>http://tarutino24.</w:t>
        </w:r>
        <w:r w:rsidR="0078337C" w:rsidRPr="00EC2FED">
          <w:rPr>
            <w:color w:val="0000FF"/>
            <w:szCs w:val="28"/>
            <w:u w:val="single"/>
            <w:lang w:val="en-US"/>
          </w:rPr>
          <w:t>ru</w:t>
        </w:r>
        <w:r w:rsidR="0078337C" w:rsidRPr="00EC2FED">
          <w:rPr>
            <w:color w:val="0000FF"/>
            <w:szCs w:val="28"/>
            <w:u w:val="single"/>
          </w:rPr>
          <w:t>/</w:t>
        </w:r>
      </w:hyperlink>
    </w:p>
    <w:p w:rsidR="0078337C" w:rsidRPr="00EC2FED" w:rsidRDefault="0078337C" w:rsidP="0078337C">
      <w:pPr>
        <w:pStyle w:val="ab"/>
        <w:autoSpaceDE w:val="0"/>
        <w:autoSpaceDN w:val="0"/>
        <w:adjustRightInd w:val="0"/>
        <w:ind w:left="750"/>
        <w:jc w:val="both"/>
        <w:rPr>
          <w:szCs w:val="28"/>
        </w:rPr>
      </w:pPr>
    </w:p>
    <w:p w:rsidR="0078337C" w:rsidRPr="00DC736E" w:rsidRDefault="0078337C" w:rsidP="0078337C">
      <w:pPr>
        <w:ind w:firstLine="709"/>
        <w:rPr>
          <w:szCs w:val="28"/>
        </w:rPr>
      </w:pPr>
    </w:p>
    <w:tbl>
      <w:tblPr>
        <w:tblW w:w="4952" w:type="pct"/>
        <w:tblLook w:val="04A0"/>
      </w:tblPr>
      <w:tblGrid>
        <w:gridCol w:w="4649"/>
        <w:gridCol w:w="4830"/>
      </w:tblGrid>
      <w:tr w:rsidR="0078337C" w:rsidRPr="00EC2FED" w:rsidTr="00E05058">
        <w:trPr>
          <w:trHeight w:val="1128"/>
        </w:trPr>
        <w:tc>
          <w:tcPr>
            <w:tcW w:w="2452" w:type="pct"/>
          </w:tcPr>
          <w:p w:rsidR="0078337C" w:rsidRPr="00EC2FED" w:rsidRDefault="0078337C" w:rsidP="00E05058">
            <w:pPr>
              <w:tabs>
                <w:tab w:val="left" w:pos="-2127"/>
              </w:tabs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>Председатель Тарутинского  сельского Совета депутатов                                          ___________Н.Н. Симонова</w:t>
            </w:r>
          </w:p>
          <w:p w:rsidR="0078337C" w:rsidRPr="00EC2FED" w:rsidRDefault="0078337C" w:rsidP="00E05058">
            <w:pPr>
              <w:tabs>
                <w:tab w:val="left" w:pos="-2127"/>
              </w:tabs>
              <w:rPr>
                <w:b/>
                <w:szCs w:val="28"/>
              </w:rPr>
            </w:pPr>
          </w:p>
        </w:tc>
        <w:tc>
          <w:tcPr>
            <w:tcW w:w="2548" w:type="pct"/>
          </w:tcPr>
          <w:p w:rsidR="0078337C" w:rsidRPr="00EC2FED" w:rsidRDefault="0078337C" w:rsidP="00E05058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Глава Тарутинского  сельсовета                     </w:t>
            </w:r>
          </w:p>
          <w:p w:rsidR="0078337C" w:rsidRPr="00EC2FED" w:rsidRDefault="0078337C" w:rsidP="00E05058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</w:p>
          <w:p w:rsidR="0078337C" w:rsidRPr="00EC2FED" w:rsidRDefault="0078337C" w:rsidP="00E05058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___________________В.А. Потехин        .                         </w:t>
            </w:r>
          </w:p>
        </w:tc>
      </w:tr>
    </w:tbl>
    <w:p w:rsidR="00437989" w:rsidRPr="00437989" w:rsidRDefault="00437989" w:rsidP="00437989">
      <w:pPr>
        <w:autoSpaceDE w:val="0"/>
        <w:autoSpaceDN w:val="0"/>
        <w:adjustRightInd w:val="0"/>
        <w:rPr>
          <w:szCs w:val="28"/>
        </w:rPr>
      </w:pPr>
    </w:p>
    <w:p w:rsidR="003B0BF5" w:rsidRDefault="003B0BF5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sectPr w:rsidR="00AB6617" w:rsidSect="00DB7CF5">
      <w:footerReference w:type="even" r:id="rId9"/>
      <w:footerReference w:type="default" r:id="rId10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C0" w:rsidRDefault="00BC63C0">
      <w:r>
        <w:separator/>
      </w:r>
    </w:p>
  </w:endnote>
  <w:endnote w:type="continuationSeparator" w:id="1">
    <w:p w:rsidR="00BC63C0" w:rsidRDefault="00BC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183119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183119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406B">
      <w:rPr>
        <w:rStyle w:val="a8"/>
        <w:noProof/>
      </w:rPr>
      <w:t>2</w: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C0" w:rsidRDefault="00BC63C0">
      <w:r>
        <w:separator/>
      </w:r>
    </w:p>
  </w:footnote>
  <w:footnote w:type="continuationSeparator" w:id="1">
    <w:p w:rsidR="00BC63C0" w:rsidRDefault="00BC6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0266C7"/>
    <w:multiLevelType w:val="hybridMultilevel"/>
    <w:tmpl w:val="E9B0B3FE"/>
    <w:lvl w:ilvl="0" w:tplc="734CCF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26D8F"/>
    <w:multiLevelType w:val="multilevel"/>
    <w:tmpl w:val="C160F8D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67"/>
    <w:rsid w:val="00021B79"/>
    <w:rsid w:val="00073EAD"/>
    <w:rsid w:val="000912CA"/>
    <w:rsid w:val="000E7EAB"/>
    <w:rsid w:val="00122952"/>
    <w:rsid w:val="00137C03"/>
    <w:rsid w:val="00146372"/>
    <w:rsid w:val="00150757"/>
    <w:rsid w:val="00154A34"/>
    <w:rsid w:val="00164A22"/>
    <w:rsid w:val="00183119"/>
    <w:rsid w:val="00195217"/>
    <w:rsid w:val="001B4A5A"/>
    <w:rsid w:val="001E75D4"/>
    <w:rsid w:val="001F07CB"/>
    <w:rsid w:val="00245088"/>
    <w:rsid w:val="002648D3"/>
    <w:rsid w:val="00293373"/>
    <w:rsid w:val="002A1705"/>
    <w:rsid w:val="002E2C38"/>
    <w:rsid w:val="002E5AD0"/>
    <w:rsid w:val="00300E6C"/>
    <w:rsid w:val="00346EC4"/>
    <w:rsid w:val="00372CAB"/>
    <w:rsid w:val="003A43D3"/>
    <w:rsid w:val="003B0BF5"/>
    <w:rsid w:val="003B268E"/>
    <w:rsid w:val="0040698E"/>
    <w:rsid w:val="00415070"/>
    <w:rsid w:val="004359E7"/>
    <w:rsid w:val="00437989"/>
    <w:rsid w:val="00440935"/>
    <w:rsid w:val="0044760A"/>
    <w:rsid w:val="0045669B"/>
    <w:rsid w:val="004679D7"/>
    <w:rsid w:val="00470D26"/>
    <w:rsid w:val="004726CA"/>
    <w:rsid w:val="004C4B87"/>
    <w:rsid w:val="004D3A11"/>
    <w:rsid w:val="004E5A92"/>
    <w:rsid w:val="004E69C3"/>
    <w:rsid w:val="00514640"/>
    <w:rsid w:val="00592B74"/>
    <w:rsid w:val="005D7BDF"/>
    <w:rsid w:val="005F1A0D"/>
    <w:rsid w:val="005F2524"/>
    <w:rsid w:val="0061034D"/>
    <w:rsid w:val="006210E7"/>
    <w:rsid w:val="00644567"/>
    <w:rsid w:val="00670EC0"/>
    <w:rsid w:val="006A766A"/>
    <w:rsid w:val="006F406B"/>
    <w:rsid w:val="0078337C"/>
    <w:rsid w:val="007974E4"/>
    <w:rsid w:val="007A44CE"/>
    <w:rsid w:val="007B7570"/>
    <w:rsid w:val="007E5E67"/>
    <w:rsid w:val="007F514C"/>
    <w:rsid w:val="00813CD1"/>
    <w:rsid w:val="00840B02"/>
    <w:rsid w:val="00842261"/>
    <w:rsid w:val="008637EE"/>
    <w:rsid w:val="00890079"/>
    <w:rsid w:val="00907BDA"/>
    <w:rsid w:val="00910196"/>
    <w:rsid w:val="00911176"/>
    <w:rsid w:val="00936521"/>
    <w:rsid w:val="00946F22"/>
    <w:rsid w:val="009D5602"/>
    <w:rsid w:val="00A01123"/>
    <w:rsid w:val="00A2560F"/>
    <w:rsid w:val="00A52BC2"/>
    <w:rsid w:val="00AB2556"/>
    <w:rsid w:val="00AB6617"/>
    <w:rsid w:val="00B14717"/>
    <w:rsid w:val="00B24674"/>
    <w:rsid w:val="00B76146"/>
    <w:rsid w:val="00B9054E"/>
    <w:rsid w:val="00B94464"/>
    <w:rsid w:val="00B945E0"/>
    <w:rsid w:val="00BC63C0"/>
    <w:rsid w:val="00BF4DF4"/>
    <w:rsid w:val="00C16075"/>
    <w:rsid w:val="00C24EE0"/>
    <w:rsid w:val="00C30E25"/>
    <w:rsid w:val="00C3598D"/>
    <w:rsid w:val="00C511C0"/>
    <w:rsid w:val="00CA7045"/>
    <w:rsid w:val="00CB5DB5"/>
    <w:rsid w:val="00CC273F"/>
    <w:rsid w:val="00CF62EB"/>
    <w:rsid w:val="00D12B2F"/>
    <w:rsid w:val="00D62DCB"/>
    <w:rsid w:val="00D85FFA"/>
    <w:rsid w:val="00D92C51"/>
    <w:rsid w:val="00DB7CF5"/>
    <w:rsid w:val="00DD1A86"/>
    <w:rsid w:val="00DE658B"/>
    <w:rsid w:val="00E01337"/>
    <w:rsid w:val="00E05058"/>
    <w:rsid w:val="00E207DD"/>
    <w:rsid w:val="00E23E1E"/>
    <w:rsid w:val="00E26D99"/>
    <w:rsid w:val="00E81FDE"/>
    <w:rsid w:val="00E941EB"/>
    <w:rsid w:val="00EC538D"/>
    <w:rsid w:val="00EE1F82"/>
    <w:rsid w:val="00EE7087"/>
    <w:rsid w:val="00F17208"/>
    <w:rsid w:val="00F4425F"/>
    <w:rsid w:val="00F70F95"/>
    <w:rsid w:val="00FA43CE"/>
    <w:rsid w:val="00FB3E93"/>
    <w:rsid w:val="00FC209A"/>
    <w:rsid w:val="00FD70E5"/>
    <w:rsid w:val="00FE281F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83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10290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2023-07-04T07:28:00Z</cp:lastPrinted>
  <dcterms:created xsi:type="dcterms:W3CDTF">2023-07-05T05:55:00Z</dcterms:created>
  <dcterms:modified xsi:type="dcterms:W3CDTF">2023-07-05T05:55:00Z</dcterms:modified>
</cp:coreProperties>
</file>